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附件3</w:t>
      </w:r>
    </w:p>
    <w:p>
      <w:pPr>
        <w:spacing w:line="600" w:lineRule="exact"/>
        <w:rPr>
          <w:rFonts w:ascii="黑体" w:hAnsi="宋体" w:eastAsia="黑体"/>
          <w:sz w:val="32"/>
          <w:szCs w:val="32"/>
        </w:rPr>
      </w:pP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2021年度全省政法优秀新闻作品评选</w:t>
      </w: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参评作品数额分配方案</w:t>
      </w:r>
      <w:bookmarkEnd w:id="0"/>
    </w:p>
    <w:p>
      <w:pPr>
        <w:spacing w:line="600" w:lineRule="exact"/>
        <w:rPr>
          <w:rFonts w:hAnsi="宋体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一、各市委（</w:t>
      </w:r>
      <w:r>
        <w:rPr>
          <w:rFonts w:hint="eastAsia"/>
          <w:sz w:val="32"/>
          <w:szCs w:val="32"/>
        </w:rPr>
        <w:t>中国铁路沈阳局集团有限公司、辽河油田公司党委</w:t>
      </w:r>
      <w:r>
        <w:rPr>
          <w:rFonts w:hint="eastAsia" w:hAnsi="宋体"/>
          <w:sz w:val="32"/>
          <w:szCs w:val="32"/>
        </w:rPr>
        <w:t>）政法委各推荐作品篇（件）：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文字3   广播2   电视2   摄影2   网络1  媒体融合3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二、省法院、省检察院、省公安厅、省国家安全厅、省司法厅各推荐作品篇（件）：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文字2   广播2   电视2   摄影2   网络1  媒体融合2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三、辽宁日报社、辽宁法治报社推荐作品篇（件）：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文字5   摄影5   网络1  媒体融合2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四、辽宁广播电视台推荐作品篇（件）：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广播5   电视5   网络1  媒体融合2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五、东北新闻网、辽宁长安网推荐作品篇（件）：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网络2  媒体融合3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六、中央驻省新闻媒体（人民日报社、新华社、法治日报社）</w:t>
      </w:r>
    </w:p>
    <w:p>
      <w:r>
        <w:rPr>
          <w:rFonts w:hint="eastAsia" w:hAnsi="宋体"/>
          <w:sz w:val="32"/>
          <w:szCs w:val="32"/>
        </w:rPr>
        <w:t>文字2  摄影2  网络1  媒体融合2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B60F25"/>
    <w:rsid w:val="55B6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6"/>
      <w:szCs w:val="3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2022-03-02T06:49:00Z</dcterms:created>
  <dc:creator>lenovo</dc:creator>
  <cp:lastModifiedBy>lenovo</cp:lastModifiedBy>
  <dcterms:modified xsi:type="dcterms:W3CDTF">2022-03-02T07:10:49Z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20E3953750EA495D8BD06E3662D90AA9</vt:lpwstr>
  </property>
</Properties>
</file>